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40" w:after="120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Instytut Filologii Polskiej</w:t>
      </w:r>
    </w:p>
    <w:p>
      <w:pPr>
        <w:pStyle w:val="Tretekstu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Katedra Teorii Literatury</w:t>
      </w:r>
    </w:p>
    <w:p>
      <w:pPr>
        <w:pStyle w:val="Tretekstu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i Krytyki Artystycznej</w:t>
      </w:r>
    </w:p>
    <w:p>
      <w:pPr>
        <w:pStyle w:val="Tretekstu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dr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hab.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Anna Filipowicz</w:t>
      </w:r>
    </w:p>
    <w:p>
      <w:pPr>
        <w:pStyle w:val="Tretekstu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(koordynator specjalności)</w:t>
      </w:r>
    </w:p>
    <w:p>
      <w:pPr>
        <w:pStyle w:val="Tretekstu"/>
        <w:jc w:val="both"/>
        <w:rPr>
          <w:rFonts w:ascii="Times New Roman" w:hAnsi="Times New Roman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Tretekstu"/>
        <w:jc w:val="both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retekstu"/>
        <w:widowControl/>
        <w:pBdr/>
        <w:spacing w:lineRule="atLeast" w:line="240" w:before="0" w:after="0"/>
        <w:ind w:left="0" w:right="0" w:hanging="0"/>
        <w:jc w:val="center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REGULAMIN PRAKTYK ZAWODOWYCH NA SPECJALNOŚCI </w:t>
      </w:r>
    </w:p>
    <w:p>
      <w:pPr>
        <w:pStyle w:val="Tretekstu"/>
        <w:widowControl/>
        <w:pBdr/>
        <w:spacing w:lineRule="atLeast" w:line="240" w:before="0" w:after="0"/>
        <w:ind w:left="0" w:right="0" w:hanging="0"/>
        <w:jc w:val="center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MEDIA I PR </w:t>
      </w:r>
    </w:p>
    <w:p>
      <w:pPr>
        <w:pStyle w:val="Tretekstu"/>
        <w:widowControl/>
        <w:pBdr/>
        <w:spacing w:lineRule="atLeast" w:line="240" w:before="0" w:after="0"/>
        <w:ind w:left="0" w:right="0" w:hanging="0"/>
        <w:jc w:val="center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 studiach </w:t>
      </w: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magisterskich </w:t>
      </w:r>
    </w:p>
    <w:p>
      <w:pPr>
        <w:pStyle w:val="Tretekstu"/>
        <w:widowControl/>
        <w:pBdr/>
        <w:spacing w:lineRule="atLeast" w:line="240" w:before="0" w:after="0"/>
        <w:ind w:left="0" w:right="0" w:hanging="0"/>
        <w:jc w:val="center"/>
        <w:rPr>
          <w:rStyle w:val="Mocnowyrniony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pBdr/>
        <w:spacing w:lineRule="atLeast" w:line="240" w:before="0" w:after="0"/>
        <w:ind w:left="0" w:right="0" w:hanging="0"/>
        <w:jc w:val="center"/>
        <w:rPr>
          <w:rStyle w:val="Mocnowyrniony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pBdr/>
        <w:spacing w:lineRule="atLeast" w:line="240" w:before="0" w:after="0"/>
        <w:ind w:left="165" w:right="0" w:hanging="0"/>
        <w:jc w:val="left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CELE PRAKTYK:</w:t>
      </w:r>
    </w:p>
    <w:p>
      <w:pPr>
        <w:pStyle w:val="Tretekstu"/>
        <w:widowControl/>
        <w:pBdr/>
        <w:spacing w:lineRule="atLeast" w:line="240" w:before="0" w:after="0"/>
        <w:ind w:left="0" w:right="0" w:hanging="0"/>
        <w:jc w:val="left"/>
        <w:rPr>
          <w:rStyle w:val="Mocnowyrniony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pBdr/>
        <w:spacing w:lineRule="atLeast" w:line="270" w:before="75" w:after="75"/>
        <w:ind w:left="170" w:right="0" w:hanging="0"/>
        <w:rPr>
          <w:rFonts w:ascii="Times New Roman" w:hAnsi="Times New Roman"/>
          <w:color w:val="1C1C1C"/>
        </w:rPr>
      </w:pPr>
      <w:r>
        <w:rPr>
          <w:color w:val="1C1C1C"/>
        </w:rPr>
        <w:t>Celem praktyk jest: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70" w:before="0" w:after="200"/>
        <w:ind w:left="15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1)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zaznajomienie studenta z charakterem i specyfiką pracy w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redakcjach prasowych, radiowych, telewizyjnych oraz redakcjach portali internetowych; w biurach rzeczników urzędów administracji publicznej, firm i przedsiębiorstw; w agencjach reklamowych, agencjach brandingowych i domach mediowych; w działach promocji urzędów administracji publicznej; w działach reklamy, marketingu, public-relations firm i przedsiębiorstw; w instytucjach kultury, think-tankach i organizacjach pozarządowych.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Wybór miejsca odbywania praktyk jest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indywidualny, związany z planami zawodowymi studenta.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70" w:before="0" w:after="200"/>
        <w:ind w:left="15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2) umożliwienie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studentowi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wszechstronnego praktycznego zastosowania wiedzy i umiejętności zdobytych podczas zajęć na uczelni (zwłaszcza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w zakresie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budowania relacji z mediami, prowadzenia biura rzecznika prasowego, tworzenia wizerunku instytucji/organizacji w mediach konwencjonalnych i kanałach social media, przygotowania kampanii medialnych i reklamowych oraz organizacji działalności promocyjnej).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70" w:before="0" w:after="200"/>
        <w:ind w:left="150" w:right="0" w:hanging="0"/>
        <w:jc w:val="both"/>
        <w:rPr/>
      </w:pPr>
      <w:r>
        <w:rPr>
          <w:rStyle w:val="Mocnowyrniony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3) p</w:t>
      </w:r>
      <w:r>
        <w:rPr/>
        <w:t xml:space="preserve">rzygotowanie </w:t>
      </w:r>
      <w:r>
        <w:rPr/>
        <w:t>s</w:t>
      </w:r>
      <w:r>
        <w:rPr/>
        <w:t>tudent</w:t>
      </w:r>
      <w:r>
        <w:rPr/>
        <w:t>a</w:t>
      </w:r>
      <w:r>
        <w:rPr/>
        <w:t xml:space="preserve"> do podjęcia pracy zawodowej w wybran</w:t>
      </w:r>
      <w:r>
        <w:rPr/>
        <w:t>ych</w:t>
      </w:r>
      <w:r>
        <w:rPr/>
        <w:t xml:space="preserve"> </w:t>
      </w:r>
      <w:bookmarkStart w:id="0" w:name="__DdeLink__480_153936027"/>
      <w:r>
        <w:rPr/>
        <w:t xml:space="preserve">przez siebie </w:t>
      </w:r>
      <w:r>
        <w:rPr/>
        <w:t>redakcjach, biurach rzeczników prasowych, agencjach reklamowych, działach promocji i reklamy, działach marketingu i</w:t>
      </w:r>
      <w:r>
        <w:rPr/>
        <w:t xml:space="preserve">nstytucji publicznych i </w:t>
      </w:r>
      <w:r>
        <w:rPr/>
        <w:t xml:space="preserve">przedsiębiorstw </w:t>
      </w:r>
      <w:r>
        <w:rPr/>
        <w:t>prywatnych.</w:t>
      </w:r>
      <w:bookmarkEnd w:id="0"/>
    </w:p>
    <w:p>
      <w:pPr>
        <w:pStyle w:val="Tretekstu"/>
        <w:widowControl/>
        <w:numPr>
          <w:ilvl w:val="0"/>
          <w:numId w:val="0"/>
        </w:numPr>
        <w:pBdr/>
        <w:spacing w:lineRule="atLeast" w:line="270" w:before="0" w:after="200"/>
        <w:ind w:left="15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ORGANIZACJA PRAKTYK: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1) student zobowiązany jest do odbycia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90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godzin praktyk – po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drugim i po trzecim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semestrze studiów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magisterskich.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40" w:before="0" w:after="0"/>
        <w:ind w:left="150" w:right="0" w:hanging="0"/>
        <w:jc w:val="left"/>
        <w:rPr>
          <w:rStyle w:val="Mocnowyrniony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Tretekstu"/>
        <w:widowControl/>
        <w:numPr>
          <w:ilvl w:val="0"/>
          <w:numId w:val="0"/>
        </w:numPr>
        <w:pBdr/>
        <w:spacing w:lineRule="atLeast" w:line="240" w:before="0" w:after="0"/>
        <w:ind w:left="150" w:right="0" w:hanging="0"/>
        <w:jc w:val="left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2) s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tudent udający się na praktykę musi otrzymać od kierownika/opiekuna praktyk skierowanie oraz druk obowiązkowego ubezpieczenia na czas trwania praktyk.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Dokumenty w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ypełnione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elektronicznie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należy złożyć do podpisu dziekana najpóźniej na </w:t>
      </w: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2 tygodnie przed rozpoczęciem praktyki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pok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ój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012 w budynku Wydziału Neofilologii)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Po tym terminie skierowania nie będą przyjmowane.</w:t>
      </w:r>
    </w:p>
    <w:p>
      <w:pPr>
        <w:pStyle w:val="Akapitzlist"/>
        <w:widowControl/>
        <w:numPr>
          <w:ilvl w:val="0"/>
          <w:numId w:val="0"/>
        </w:numPr>
        <w:pBdr/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Akapitzlist"/>
        <w:widowControl/>
        <w:numPr>
          <w:ilvl w:val="0"/>
          <w:numId w:val="0"/>
        </w:numPr>
        <w:pBdr/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Kierownik/opiekun praktyki przygotowuje dla studenta 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  <w:u w:val="none"/>
        </w:rPr>
        <w:t>Porozumienie o przeprowadzeniu studenckich praktyk zawodowych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orozumienie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wypełnione elektronicznie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student składa w dziekanacie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(pokój 012 w budynku Wydziału Neofilologii)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na 2 tygodnie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przed rozpoczęciem praktyki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. Po rozpoczęciu praktyki porozumienie nie będzie przyjmowane. </w:t>
      </w:r>
    </w:p>
    <w:p>
      <w:pPr>
        <w:pStyle w:val="Tretekstu"/>
        <w:widowControl/>
        <w:pBdr/>
        <w:spacing w:lineRule="atLeast" w:line="240" w:before="0" w:after="0"/>
        <w:ind w:left="0" w:right="0" w:hanging="0"/>
        <w:jc w:val="left"/>
        <w:rPr>
          <w:rStyle w:val="Mocnowyrniony"/>
          <w:b w:val="false"/>
          <w:color w:val="000000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Akapitzlist"/>
        <w:widowControl/>
        <w:numPr>
          <w:ilvl w:val="0"/>
          <w:numId w:val="0"/>
        </w:numPr>
        <w:pBdr/>
        <w:spacing w:lineRule="atLeast" w:line="240" w:before="0" w:after="0"/>
        <w:ind w:left="900" w:right="0" w:hanging="0"/>
        <w:jc w:val="left"/>
        <w:rPr>
          <w:rStyle w:val="Mocnowyrniony"/>
          <w:b w:val="false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pBdr/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3) obowiązki studenta w trakcie odbywania praktyk:</w:t>
        <w:br/>
        <w:t>- staranne wypełnianie zadań wyznaczonych przez przełożonych/</w:t>
      </w: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kierownictwo </w:t>
      </w: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wybranej instytucji.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40" w:before="0" w:after="0"/>
        <w:ind w:left="150" w:right="0" w:hanging="0"/>
        <w:jc w:val="left"/>
        <w:rPr/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zapoznanie się ze strukturą i organizacją pracy w miejscu odbywania praktyk. 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40" w:before="0" w:after="0"/>
        <w:ind w:left="150" w:right="0" w:hanging="0"/>
        <w:jc w:val="left"/>
        <w:rPr/>
      </w:pPr>
      <w:r>
        <w:rPr>
          <w:rStyle w:val="Mocnowyrniony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praktyczna nauka </w:t>
      </w:r>
      <w:r>
        <w:rPr>
          <w:rStyle w:val="Mocnowyrniony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zawodu </w:t>
      </w:r>
      <w:r>
        <w:rPr>
          <w:rStyle w:val="Mocnowyrniony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(przygotowanie, opracowanie i publikacja komunikatów medialnych i reklamowych</w:t>
      </w:r>
      <w:r>
        <w:rPr>
          <w:rStyle w:val="Mocnowyrniony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Mocnowyrniony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 zachowaniem zasad etyki zawodu dziennikarza i konsultanta PR), </w:t>
      </w:r>
      <w:r>
        <w:rPr>
          <w:rStyle w:val="Mocnowyrniony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zaznajomienie się z warsztatem pracy w wybranym dziale</w:t>
      </w:r>
      <w:r>
        <w:rPr>
          <w:rStyle w:val="Mocnowyrniony"/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prowadzenie dziennika praktyk poświadczonego stemplem dyrektora instytucji lub osoby przez niego wyznaczonej.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40" w:before="0" w:after="0"/>
        <w:ind w:left="15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rStyle w:val="Mocnowyrniony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uzyskanie opinii (opisowej oceny) poświadczonej stemplem dyrektora instytucji lub osoby przez niego wyznaczonej.</w:t>
      </w:r>
    </w:p>
    <w:p>
      <w:pPr>
        <w:pStyle w:val="Normal"/>
        <w:widowControl/>
        <w:numPr>
          <w:ilvl w:val="0"/>
          <w:numId w:val="0"/>
        </w:numPr>
        <w:pBdr/>
        <w:spacing w:lineRule="atLeast" w:line="270" w:before="75" w:after="75"/>
        <w:ind w:left="150" w:right="0" w:hanging="0"/>
        <w:rPr>
          <w:rFonts w:ascii="Times New Roman" w:hAnsi="Times New Roman"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</w:pP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4) z tytułu odbywania praktyk uczelnia nie przewiduje wynagrodzeń dla studentów. 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70" w:before="75" w:after="75"/>
        <w:ind w:left="15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>MIEJSCE OBYWANIA PRAKTYK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70" w:before="75" w:after="75"/>
        <w:ind w:left="15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 xml:space="preserve">1) praktyki mogą 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odbywać w redakcjach,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biurach rzeczników prasowych, agencjach reklamowych, działach promocji i reklamy, działach marketingu wybranych i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nstytucji publicznych i 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przedsiębiorstw 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prywatnych.</w:t>
      </w:r>
      <w:r>
        <w:rPr>
          <w:rFonts w:cs="Courier Ne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Realizacja praktyk przez studenta jest dokumentowana w </w:t>
      </w:r>
      <w:r>
        <w:rPr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dzienniku praktyk oraz </w:t>
      </w:r>
      <w:r>
        <w:rPr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opinii (opisowej ocenie) instytucji, w której student realizuje praktyki.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70" w:before="75" w:after="75"/>
        <w:ind w:left="150" w:right="0" w:hanging="0"/>
        <w:jc w:val="both"/>
        <w:rPr>
          <w:rFonts w:ascii="Times New Roman" w:hAnsi="Times New Roman"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</w:pP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2) studenci na sta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łe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 współpracując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y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 z wybraną redakcją/biurem rzecznika prasowego/ agencją reklamy/działem 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promocji i reklamy/ działem 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marketingu 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etc. 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mogą za zgodą opiekuna praktyk ubiegać się o</w:t>
      </w:r>
      <w:r>
        <w:rPr>
          <w:rFonts w:cs="Courier New"/>
          <w:b/>
          <w:bCs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 xml:space="preserve"> </w:t>
      </w:r>
      <w:r>
        <w:rPr>
          <w:rFonts w:cs="Courier New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zaliczenie praktyki na podstawie wystawionego przez tę instytucję zaświadczenia o wykonywanej pracy (zawierającego informację o zatrudnieniu, czasie współpracy, zakresie obowiązków). R</w:t>
      </w:r>
      <w:r>
        <w:rPr>
          <w:rFonts w:cs="Courier New"/>
          <w:b w:val="false"/>
          <w:i w:val="false"/>
          <w:caps w:val="false"/>
          <w:smallCaps w:val="false"/>
          <w:color w:val="1C1C1C"/>
          <w:spacing w:val="0"/>
          <w:sz w:val="24"/>
          <w:szCs w:val="24"/>
          <w:u w:val="none"/>
        </w:rPr>
        <w:t>ównież w tym przypadku student jest zobowiązany dostarczyć uczelni opinię (opisową ocenę) przełożonego.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70" w:before="75" w:after="75"/>
        <w:ind w:left="150" w:right="0" w:hanging="0"/>
        <w:rPr>
          <w:rFonts w:ascii="Times New Roman" w:hAnsi="Times New Roman" w:cs="Courier New"/>
          <w:b w:val="false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</w:rPr>
      </w:pPr>
      <w:r>
        <w:rPr>
          <w:rFonts w:cs="Courier New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</w:rPr>
        <w:t>3) zaliczenie praktyk potwierdzone wpisem do indeksu studenci uzyskują u opiekuna/kierownika praktyk.</w:t>
      </w:r>
    </w:p>
    <w:p>
      <w:pPr>
        <w:pStyle w:val="Tretekstu"/>
        <w:widowControl/>
        <w:numPr>
          <w:ilvl w:val="0"/>
          <w:numId w:val="0"/>
        </w:numPr>
        <w:pBdr/>
        <w:spacing w:lineRule="atLeast" w:line="270" w:before="75" w:after="75"/>
        <w:ind w:left="15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</w:r>
    </w:p>
    <w:p>
      <w:pPr>
        <w:pStyle w:val="Tretekstu"/>
        <w:widowControl/>
        <w:pBdr/>
        <w:spacing w:lineRule="atLeast" w:line="270" w:before="75" w:after="75"/>
        <w:ind w:left="0" w:right="0" w:hanging="0"/>
        <w:jc w:val="left"/>
        <w:rPr/>
      </w:pPr>
      <w:r>
        <w:rPr/>
      </w:r>
    </w:p>
    <w:p>
      <w:pPr>
        <w:pStyle w:val="Tretekstu"/>
        <w:widowControl/>
        <w:pBdr/>
        <w:spacing w:lineRule="atLeast" w:line="270" w:before="75" w:after="75"/>
        <w:ind w:left="0" w:right="0" w:hanging="0"/>
        <w:jc w:val="left"/>
        <w:rPr/>
      </w:pPr>
      <w:r>
        <w:rPr/>
      </w:r>
    </w:p>
    <w:p>
      <w:pPr>
        <w:pStyle w:val="Tretekstu"/>
        <w:widowControl/>
        <w:pBdr/>
        <w:spacing w:lineRule="atLeast" w:line="270" w:before="75" w:after="75"/>
        <w:ind w:left="0" w:right="0" w:hanging="0"/>
        <w:jc w:val="left"/>
        <w:rPr/>
      </w:pPr>
      <w:r>
        <w:rPr/>
      </w:r>
    </w:p>
    <w:p>
      <w:pPr>
        <w:pStyle w:val="Tretekstu"/>
        <w:widowControl/>
        <w:pBdr/>
        <w:spacing w:lineRule="atLeast" w:line="270" w:before="75" w:after="75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Times New Roman">
    <w:charset w:val="ee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150"/>
        </w:tabs>
        <w:ind w:left="150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Gwka"/>
    <w:next w:val="Tretekstu"/>
    <w:qFormat/>
    <w:pPr>
      <w:numPr>
        <w:ilvl w:val="0"/>
        <w:numId w:val="0"/>
      </w:numPr>
      <w:outlineLvl w:val="1"/>
    </w:pPr>
    <w:rPr>
      <w:rFonts w:ascii="Times New Roman" w:hAnsi="Times New Roman" w:eastAsia="Lucida Sans Unicode" w:cs="Mangal"/>
      <w:b/>
      <w:bCs/>
      <w:sz w:val="36"/>
      <w:szCs w:val="36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29z0">
    <w:name w:val="WW8Num29z0"/>
    <w:qFormat/>
    <w:rPr>
      <w:rFonts w:ascii="Symbol" w:hAnsi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Akapitzlist">
    <w:name w:val="Akapit z listą"/>
    <w:basedOn w:val="Normal"/>
    <w:qFormat/>
    <w:pPr>
      <w:spacing w:lineRule="auto" w:line="360" w:before="0" w:after="200"/>
      <w:ind w:left="720" w:right="0" w:hanging="0"/>
      <w:jc w:val="both"/>
    </w:pPr>
    <w:rPr>
      <w:rFonts w:ascii="Calibri" w:hAnsi="Calibri" w:eastAsia="Calibri"/>
      <w:sz w:val="22"/>
      <w:szCs w:val="22"/>
    </w:rPr>
  </w:style>
  <w:style w:type="paragraph" w:styleId="NormalWeb">
    <w:name w:val="Normal (Web)"/>
    <w:basedOn w:val="Normal"/>
    <w:qFormat/>
    <w:pPr>
      <w:spacing w:lineRule="atLeast" w:line="100" w:before="28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</TotalTime>
  <Application>LibreOffice/6.1.4.2$Windows_x86 LibreOffice_project/9d0f32d1f0b509096fd65e0d4bec26ddd1938fd3</Application>
  <Pages>2</Pages>
  <Words>505</Words>
  <Characters>3576</Characters>
  <CharactersWithSpaces>4042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2012-12-10T08:06:28Z</dcterms:created>
  <dc:creator>wetcab wetcab</dc:creator>
  <dc:description/>
  <dc:language>pl-PL</dc:language>
  <cp:lastModifiedBy/>
  <cp:lastPrinted>2014-04-07T08:53:30Z</cp:lastPrinted>
  <dcterms:modified xsi:type="dcterms:W3CDTF">2019-09-20T09:24:02Z</dcterms:modified>
  <cp:revision>48</cp:revision>
  <dc:subject/>
  <dc:title/>
</cp:coreProperties>
</file>