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Książki</w:t>
      </w:r>
    </w:p>
    <w:p w:rsidR="002E3A44" w:rsidRPr="002E3A44" w:rsidRDefault="002E3A44" w:rsidP="002E3A4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Rząd czasowników w kaszubszczyźnie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– Rumia 2001, ss. 201.</w:t>
      </w:r>
    </w:p>
    <w:p w:rsidR="002E3A44" w:rsidRPr="002E3A44" w:rsidRDefault="002E3A44" w:rsidP="002E3A4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Problematyka morfonologiczna w procesie kodyfikacji kaszubszczyzny na przykładzie samogłoskowych alternacji jakościowych przed końcówką zerową rzeczowników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Wydawnictwo Uniwersytetu Gdańskiego, Gdańsk 2008, ss. 378.</w:t>
      </w:r>
    </w:p>
    <w:p w:rsidR="002E3A44" w:rsidRPr="002E3A44" w:rsidRDefault="002E3A44" w:rsidP="002E3A4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R. Wosiak-Śliwą:]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Kaszubski język literacki. Podręcznik dla lektoratów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1992, ss. 84.</w:t>
      </w:r>
    </w:p>
    <w:p w:rsidR="002E3A44" w:rsidRPr="002E3A44" w:rsidRDefault="002E3A44" w:rsidP="002E3A4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R. Wosiak-Śliwą:]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Ùczimë sã pò kaszëbskù. Książka pomocnicza dla klas starszych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2001, ss. 103; wyd. II, Gdańsk 2005, ss. 109; Gdańsk 2007, wyd. 3, ss. 118.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Redakcje książek</w:t>
      </w:r>
    </w:p>
    <w:p w:rsidR="002E3A44" w:rsidRPr="002E3A44" w:rsidRDefault="002E3A44" w:rsidP="002E3A4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[współred.:]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Ùczimë pò kaszëbskù. Materiałë dlô szkólnëch. Rozkłady, konspekty i scenariusze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òbróbk M. Cybulski, W. Kiedrowska, D. Pioch, R. Wosiak-Śliwa, Gdańsk 2004.</w:t>
      </w:r>
    </w:p>
    <w:p w:rsidR="002E3A44" w:rsidRPr="002E3A44" w:rsidRDefault="002E3A44" w:rsidP="002E3A4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Polsko-kaszubski słownik nazw miejscowych i fizjograficznych. Pòlskò-kaszëbsczi słowôrz miestnych ë geògrafnëch mión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A. Chludziński, opracował zespół w składzie: E. Breza, M. Cybulski, J. Treder, R. Wosiak-Śliwa, Gdańsk 2006.</w:t>
      </w:r>
    </w:p>
    <w:p w:rsid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82828"/>
          <w:sz w:val="20"/>
          <w:lang w:eastAsia="pl-PL"/>
        </w:rPr>
      </w:pP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Artykuły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1987</w:t>
      </w:r>
    </w:p>
    <w:p w:rsidR="002E3A44" w:rsidRPr="002E3A44" w:rsidRDefault="002E3A44" w:rsidP="002E3A4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Regionalizacja nauczania w kaszubskiej szkole na lekcjach języka polskiego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1987 nr 6, s. 43–44.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1988</w:t>
      </w:r>
    </w:p>
    <w:p w:rsidR="002E3A44" w:rsidRPr="002E3A44" w:rsidRDefault="002E3A44" w:rsidP="002E3A4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Czy mówi się po kaszubsku? – głos w dyskusji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1988 nr 2, s. 22.</w:t>
      </w:r>
    </w:p>
    <w:p w:rsidR="002E3A44" w:rsidRPr="002E3A44" w:rsidRDefault="002E3A44" w:rsidP="002E3A4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Mniej znana karta twórczości Mikołaja Rudnickiego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1988 nr 12, s. 34–35.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1989</w:t>
      </w:r>
    </w:p>
    <w:p w:rsidR="002E3A44" w:rsidRPr="002E3A44" w:rsidRDefault="002E3A44" w:rsidP="002E3A44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Genetivus partitivus w kaszubskich tekstach literackich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„Zeszyty Naukowe Wydziału Humanistycznego UG. Filologia Polska. Prace Językoznawcze” 15, Gdańsk 1989, s. 23–35.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1990</w:t>
      </w:r>
    </w:p>
    <w:p w:rsidR="002E3A44" w:rsidRPr="002E3A44" w:rsidRDefault="002E3A44" w:rsidP="002E3A4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kaszubskim tłumaczeniu Biblii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Pomorsky slowiany. Tezy konferencii do 120-riczczia z dnia narodzennia M. W. Breczkewycza. 25–26 zowtnia 1990 r.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Ternopil 1990, s. 74–76.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1992</w:t>
      </w:r>
    </w:p>
    <w:p w:rsidR="002E3A44" w:rsidRPr="002E3A44" w:rsidRDefault="002E3A44" w:rsidP="002E3A44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Dąbrowski Walenty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biograficzny Pomorza Nadwiślańskiego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S. Gierszewskiego, t. I, Gdańsk 1992, s. 302–303.</w:t>
      </w:r>
    </w:p>
    <w:p w:rsidR="002E3A44" w:rsidRPr="002E3A44" w:rsidRDefault="002E3A44" w:rsidP="002E3A44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Nazwiska łebian na podstawie „Spisu alfabetycznego właścicieli niemieckich z r. 1946–1948”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Studia kaszubsko-słowińskie. Materiały z II Konferencji Słowińskiej (Łeba 11–13.05.1992)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 Tredera, Łeba 1992, s. 69–76.</w:t>
      </w:r>
    </w:p>
    <w:p w:rsidR="002E3A44" w:rsidRPr="002E3A44" w:rsidRDefault="002E3A44" w:rsidP="002E3A44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Podstawowe wiadomości z gramatyki języka kaszubskiego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 E. Gołąbek,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Rozmówki kaszubskie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Gdynia 1992, s. 276–291.</w:t>
      </w:r>
    </w:p>
    <w:p w:rsidR="002E3A44" w:rsidRPr="002E3A44" w:rsidRDefault="002E3A44" w:rsidP="002E3A44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Rząd czasowników w prozie Alojzego Budzisza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– Teoria – Dydaktyka. Materiały X Konferencji Młodych Językoznawców-Dydaktyków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Kielce 1992, s. 157–165.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1994</w:t>
      </w:r>
    </w:p>
    <w:p w:rsidR="002E3A44" w:rsidRPr="002E3A44" w:rsidRDefault="002E3A44" w:rsidP="002E3A4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lastRenderedPageBreak/>
        <w:t>Narzędnik przyczasownikowy w kaszubszczyźnie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„Zeszyty Naukowe Wydziału Humanistycznego UG. Filologia Polska. Prace Językoznawcze” 19–20, Gdańsk 1994, s. 139–141.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1997</w:t>
      </w:r>
    </w:p>
    <w:p w:rsidR="002E3A44" w:rsidRPr="002E3A44" w:rsidRDefault="002E3A44" w:rsidP="002E3A44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Rompczyk Jan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biograficzny Pomorza Nadwiślańskiego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S. Gierszewskiego. T. IV (R–Z), pod red. Z. Nowaka, Gdańsk 1997, s. 85–86.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1998</w:t>
      </w:r>
    </w:p>
    <w:p w:rsidR="002E3A44" w:rsidRPr="002E3A44" w:rsidRDefault="002E3A44" w:rsidP="002E3A44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Fazowé czasniczi w kaszëbiznie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 xml:space="preserve">Jazyki małyje i bolszije. 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val="en-US" w:eastAsia="pl-PL"/>
        </w:rPr>
        <w:t xml:space="preserve">In memoriam Acad. Nikita I. </w:t>
      </w:r>
      <w:proofErr w:type="spellStart"/>
      <w:r w:rsidRPr="002E3A44">
        <w:rPr>
          <w:rFonts w:ascii="Arial" w:eastAsia="Times New Roman" w:hAnsi="Arial" w:cs="Arial"/>
          <w:i/>
          <w:iCs/>
          <w:color w:val="282828"/>
          <w:sz w:val="20"/>
          <w:lang w:val="en-US" w:eastAsia="pl-PL"/>
        </w:rPr>
        <w:t>Tolstoi</w:t>
      </w:r>
      <w:proofErr w:type="spellEnd"/>
      <w:r w:rsidRPr="002E3A44"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  <w:t>, „</w:t>
      </w:r>
      <w:proofErr w:type="spellStart"/>
      <w:r w:rsidRPr="002E3A44"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  <w:t>Slavica</w:t>
      </w:r>
      <w:proofErr w:type="spellEnd"/>
      <w:r w:rsidRPr="002E3A44"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  <w:t xml:space="preserve"> </w:t>
      </w:r>
      <w:proofErr w:type="spellStart"/>
      <w:r w:rsidRPr="002E3A44"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  <w:t>Tartuensia</w:t>
      </w:r>
      <w:proofErr w:type="spellEnd"/>
      <w:r w:rsidRPr="002E3A44"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  <w:t>” IV, Tartu 1998, s. 89–94.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1999</w:t>
      </w:r>
    </w:p>
    <w:p w:rsidR="002E3A44" w:rsidRPr="002E3A44" w:rsidRDefault="002E3A44" w:rsidP="002E3A44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Fleksja czasowników w „Żëcym i przigodach Remusa” A. Majkowskiego a powstawanie znormalizowanego języka kaszubskiego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Życie i przygody Remusa Aleksandra Majkowskiego. Powieść regionalna czy arcydzieło europejskie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T. Linknera, Słupsk 1999, s. 169–173.</w:t>
      </w:r>
    </w:p>
    <w:p w:rsidR="002E3A44" w:rsidRPr="002E3A44" w:rsidRDefault="002E3A44" w:rsidP="002E3A44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Kaszubskie słownictwo potoczne związane z usypianiem dzieci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regionalna. Materiały z sesji językoznawczej w Ostrołęce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cz. 3, pod red. H. Sędziak, Łomża 1999, s. 98–101.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2000</w:t>
      </w:r>
    </w:p>
    <w:p w:rsidR="002E3A44" w:rsidRPr="002E3A44" w:rsidRDefault="002E3A44" w:rsidP="002E3A44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Przypadek dopełnienia po czasowniku zaprzeczonym w kaszubskich tekstach literackich Majkowskiego, Budzisza i Drzeżdżona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„Gdańskie Studia Językoznawcze”, 2000, VII, s. 25–33.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2001</w:t>
      </w:r>
    </w:p>
    <w:p w:rsidR="002E3A44" w:rsidRPr="002E3A44" w:rsidRDefault="002E3A44" w:rsidP="002E3A44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Żuław, Mierzei Wiślanej i Powiśla świadectwem przeszłości tych ziem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Kolokwia Żuławskie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I: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Żuławy i Mierzeja – moje miejsce na ziemi. Materiały sesji naukowej odbytej w dniach 6–7 X 2000 r. w Stegnie zorganizowanej przez Starostwo w Nowym Dworze Gdańskim, Stowarzyszenie Miłośników Nowego Dworu Gdańskiego, Klub Nowodworski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D. A. Dekańskiego, Gdańsk Officina Ferberiana 2001, s. 77–80.</w:t>
      </w:r>
    </w:p>
    <w:p w:rsidR="002E3A44" w:rsidRPr="002E3A44" w:rsidRDefault="002E3A44" w:rsidP="002E3A44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Opozycja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a: á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 deklinacji kaszubskich rzeczowników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i dialekty Pomorza dawniej i dziś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R. Wosiak-Śliwa, Gdańsk 2001, s. 109–128.</w:t>
      </w:r>
    </w:p>
    <w:p w:rsidR="002E3A44" w:rsidRPr="002E3A44" w:rsidRDefault="002E3A44" w:rsidP="002E3A44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Przypadek orzecznika rzeczownikowego w kaszubskim zdaniu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Mazowsza i Podlasia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część V: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Frazeologia i składnia polszczyzny mówionej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H. Sędziak, Łomża 2001, s. 55–61.</w:t>
      </w:r>
    </w:p>
    <w:p w:rsidR="002E3A44" w:rsidRPr="002E3A44" w:rsidRDefault="002E3A44" w:rsidP="002E3A44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Różą Wosiak-Śliwą],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Składnia kaszubska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Kaszubszczyzna. Kaszëbizna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naukowy E. Breza, Opole 2001, s. 185–201.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2002</w:t>
      </w:r>
    </w:p>
    <w:p w:rsidR="002E3A44" w:rsidRPr="002E3A44" w:rsidRDefault="002E3A44" w:rsidP="002E3A44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Hasła: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Dopełniacz cząstkowy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w szkole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Orzecznik w kasz.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Rudnicki Mikołaj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kaszubski. Poradnik encyklopedyczny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J. Treder, Gdańsk 2002.</w:t>
      </w:r>
    </w:p>
    <w:p w:rsidR="002E3A44" w:rsidRPr="002E3A44" w:rsidRDefault="002E3A44" w:rsidP="002E3A44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Kaszubskie czasowniki oznaczające jedzenie i picie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Mazowsza i Podlasia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cz. VI: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Słownictwo i frazeologia polszczyzny mówionej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redakcją H. Sędziak, Łomża 2002, s. 51–57.</w:t>
      </w:r>
    </w:p>
    <w:p w:rsidR="002E3A44" w:rsidRPr="002E3A44" w:rsidRDefault="002E3A44" w:rsidP="002E3A44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Problemy składniowe na studenckim lektoracie języka kaszubskiego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 problematyki kształcenia językowego.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T. II.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Składnia – teoria a praktyka szkolna i akademicka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H. Sędziak, Białystok 2002, s. 241–249.</w:t>
      </w:r>
    </w:p>
    <w:p w:rsidR="002E3A44" w:rsidRPr="002E3A44" w:rsidRDefault="002E3A44" w:rsidP="002E3A44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E. Rogowską]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rodzimych ryb morskich w dwu kaszubskich słownikach (Sychty i Trepczyka)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„Acta Cassubiana” t. IV, Gdańsk – Wejherowo 2002, s. 261–274.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lastRenderedPageBreak/>
        <w:t>2003</w:t>
      </w:r>
    </w:p>
    <w:p w:rsidR="002E3A44" w:rsidRPr="002E3A44" w:rsidRDefault="002E3A44" w:rsidP="002E3A44">
      <w:pPr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Alternacje morfonologiczne w kaszubszczyźnie Jana Trepczyka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i dialekty Pomorza dawniej i dziś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5, red. R. Wosiak-Śliwa, Gdańsk 2003, s. 71–84.</w:t>
      </w:r>
    </w:p>
    <w:p w:rsidR="002E3A44" w:rsidRPr="002E3A44" w:rsidRDefault="002E3A44" w:rsidP="002E3A44">
      <w:pPr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Kaszubskie nazwy ciernika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Mazowsza i Podlasia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cz. VII: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Obraz życia i kultury mieszkańców regionu utrwalony w słownictwie gwarowym i regionalnym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H. Sędziak, Łomża 2003, s. 35–42.</w:t>
      </w:r>
    </w:p>
    <w:p w:rsidR="002E3A44" w:rsidRPr="002E3A44" w:rsidRDefault="002E3A44" w:rsidP="002E3A44">
      <w:pPr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Kaszëbsczé czasniczi o znaczenim 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bic,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Slav’anskije jazyki: ot prosthlogo k nastojashchemu. K. XIII Mezhdunarodnomu sjezdu slavistov (L’ubl’ana, 15–21.08.2003)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„Slavica Tartuensia” VI, Tartu, 2003, s. 194–198.</w:t>
      </w:r>
    </w:p>
    <w:p w:rsidR="002E3A44" w:rsidRPr="002E3A44" w:rsidRDefault="002E3A44" w:rsidP="002E3A44">
      <w:pPr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R. Wosiak-Śliwą]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Kaszubskie szkolnictwo i podręczniki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Języki mniejszości i języki regionalne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E. Wrocławskiej i J. Zieniukowej, Warszawa 2003, s. 147–158.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2004</w:t>
      </w:r>
    </w:p>
    <w:p w:rsidR="002E3A44" w:rsidRPr="002E3A44" w:rsidRDefault="002E3A44" w:rsidP="002E3A44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Alternacje morfonologiczne w języku Aleksandra Labudy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Mazowsza i Podlasia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cz. VIII: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Antroponimia i toponimia Mazowsza i Podlasia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H. Sędziak, Łomża 2004, s. 193–202.</w:t>
      </w:r>
    </w:p>
    <w:p w:rsidR="002E3A44" w:rsidRPr="002E3A44" w:rsidRDefault="002E3A44" w:rsidP="002E3A44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miejskich realiów w „Słowniku polsko-kaszubskim” Jana Trepczyka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mówiona mieszkańców miast. Księga referatów z konferencji językoznawczej w Białymstoku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H. Sędziak, Białystok 2004, s. 153–164.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2005</w:t>
      </w:r>
    </w:p>
    <w:p w:rsidR="002E3A44" w:rsidRPr="002E3A44" w:rsidRDefault="002E3A44" w:rsidP="002E3A44">
      <w:pPr>
        <w:numPr>
          <w:ilvl w:val="0"/>
          <w:numId w:val="1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Samogłoskowe alternacje morfonologiczne w kaszubskich tłumaczeniach Pisma Świętego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De lingua et litteris: Studia in honorem Casimiri Andreae Sroka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edited by D. Stanulewicz, R. Kalisz, W. Kürschner, C. Klaus, Gdańsk 2005, s. 429–437.</w:t>
      </w:r>
    </w:p>
    <w:p w:rsidR="002E3A44" w:rsidRPr="002E3A44" w:rsidRDefault="002E3A44" w:rsidP="002E3A44">
      <w:pPr>
        <w:numPr>
          <w:ilvl w:val="0"/>
          <w:numId w:val="1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E. Rogowską-Cybulską]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Językowy obraz miasta i wsi w kaszubskim elementarzu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Mazowsza i Podlasia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cz. IX, pod red. H. Sędziak, Łomża 2005, s. 71–86.</w:t>
      </w:r>
    </w:p>
    <w:p w:rsidR="002E3A44" w:rsidRPr="002E3A44" w:rsidRDefault="002E3A44" w:rsidP="002E3A44">
      <w:pPr>
        <w:numPr>
          <w:ilvl w:val="0"/>
          <w:numId w:val="1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E. Rogowską-Cybulską]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własne w kaszubskim elementarzu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„Acta Cassubiana” t. VII, Gdańsk 2005, s. 171–183.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2006</w:t>
      </w:r>
    </w:p>
    <w:p w:rsidR="002E3A44" w:rsidRPr="002E3A44" w:rsidRDefault="002E3A44" w:rsidP="002E3A44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Hasła: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Alternacje morfonologiczne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18–19;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Alternacje samogłoskowe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19–20;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Alternacje spółgłoskowe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20;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Alternacje typu 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samogłoska: Ø, s. 21;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Dopełniacz cząstkowy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49–50;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Kossak-Główczewski Kazimierz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131;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Orzeczenie w kaszubszczyźnie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190;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Rudnicki Mikołaj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222–223, i wspólnie z J. Trederem: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w szkole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119–124,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kaszubski. Poradnik encyklopedyczny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2 poprawione i poszerzone, red. J. Treder, Gdańsk 2006.</w:t>
      </w:r>
    </w:p>
    <w:p w:rsidR="002E3A44" w:rsidRPr="002E3A44" w:rsidRDefault="002E3A44" w:rsidP="002E3A44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Alternacje morfonologiczne w pismach Floriana Ceynowy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„Gdańskie Studia Językoznawcze” IX, Gdańsk 2005, s. 19–30.</w:t>
      </w:r>
    </w:p>
    <w:p w:rsidR="002E3A44" w:rsidRPr="002E3A44" w:rsidRDefault="002E3A44" w:rsidP="002E3A44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Elementy religijne na lekcjach języka kaszubskiego w świetle konspektów nauczycieli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– szkoła – religia I. Księga referatów z konferencji w Pelplinie 29–30 kwietnia 2005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A. Lewińska i M. Chmiel, Pelplin 2006, s. 63–72.</w:t>
      </w:r>
    </w:p>
    <w:p w:rsidR="002E3A44" w:rsidRPr="002E3A44" w:rsidRDefault="002E3A44" w:rsidP="002E3A44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kaszubski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Gdyńscy Kaszubi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Mordawskiego, Gdynia 2006, s. 17–18.</w:t>
      </w:r>
    </w:p>
    <w:p w:rsidR="002E3A44" w:rsidRPr="002E3A44" w:rsidRDefault="002E3A44" w:rsidP="002E3A44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Praktyczne aspekty 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Ustawy o mniejszościach narodowych i etnicznych oraz o języku regionalnym (6 I 2005. Dz. U. 2005 Nr 17 poz. 141.),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w przeszłości i dziś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Jerzego Tredera, KHNiT PAN, Warszawa 2006, s. 63–72.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2007</w:t>
      </w:r>
    </w:p>
    <w:p w:rsidR="002E3A44" w:rsidRPr="002E3A44" w:rsidRDefault="002E3A44" w:rsidP="002E3A44">
      <w:pPr>
        <w:numPr>
          <w:ilvl w:val="0"/>
          <w:numId w:val="19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Alternacje samogłosek wysokich we fleksji rzeczownika w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Słowniku języka pomorskiego czyli kaszubskiego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Stefana Ramułta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Opuscula linguistica Georgio Treder dedicata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E. Brezy, Z. i A. Liców, Gdańsk 2007, s. 161–169.</w:t>
      </w:r>
    </w:p>
    <w:p w:rsidR="002E3A44" w:rsidRPr="002E3A44" w:rsidRDefault="002E3A44" w:rsidP="002E3A44">
      <w:pPr>
        <w:numPr>
          <w:ilvl w:val="0"/>
          <w:numId w:val="19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lastRenderedPageBreak/>
        <w:t>Arkun, Kara Remusa i Czec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Lew – Stolem – Budziciel. Wojciechowi Kiedrowskiemu na 70. urodziny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– Wejherowo 2007, s. 35–38.</w:t>
      </w:r>
    </w:p>
    <w:p w:rsidR="002E3A44" w:rsidRPr="002E3A44" w:rsidRDefault="002E3A44" w:rsidP="002E3A44">
      <w:pPr>
        <w:numPr>
          <w:ilvl w:val="0"/>
          <w:numId w:val="19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Jakościowe alternacje samogłoskowe w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Słowniku języka pomorskiego czyli kaszubskiego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Stefana Ramułta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i dialekty Pomorza dawniej i dziś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6, Gdańsk 2006, s. 21–60.</w:t>
      </w:r>
    </w:p>
    <w:p w:rsidR="002E3A44" w:rsidRPr="002E3A44" w:rsidRDefault="002E3A44" w:rsidP="002E3A44">
      <w:pPr>
        <w:numPr>
          <w:ilvl w:val="0"/>
          <w:numId w:val="19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w Gdańsku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Przestrzeń zróżnicowana językowo, kulturowo i społecznie. Miasto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M. Święcickiej, Bydgoszcz 2006, s. 51–63.</w:t>
      </w:r>
    </w:p>
    <w:p w:rsidR="002E3A44" w:rsidRPr="002E3A44" w:rsidRDefault="002E3A44" w:rsidP="002E3A44">
      <w:pPr>
        <w:numPr>
          <w:ilvl w:val="0"/>
          <w:numId w:val="19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w nazwach firm w województwie pomorskim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Mazowsza i Podlasia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cz. X: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miast i miasteczek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H. Sędziak, Łomża 2006, s. 103–116.</w:t>
      </w:r>
    </w:p>
    <w:p w:rsidR="002E3A44" w:rsidRPr="002E3A44" w:rsidRDefault="002E3A44" w:rsidP="002E3A44">
      <w:pPr>
        <w:numPr>
          <w:ilvl w:val="0"/>
          <w:numId w:val="19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Oboczność kontynuantów dawnego 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e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długiego i dawnego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e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krótkiego we fleksji rzeczownika w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Słowniku języka pomorskiego czyli kaszubskiego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 Stefana Ramułta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„Rocznik Gdański”, t. LXVI, Gdańsk 2006, s. 141–150.</w:t>
      </w:r>
    </w:p>
    <w:p w:rsidR="002E3A44" w:rsidRPr="002E3A44" w:rsidRDefault="002E3A44" w:rsidP="002E3A44">
      <w:pPr>
        <w:numPr>
          <w:ilvl w:val="0"/>
          <w:numId w:val="19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Praktyczne aspekty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Ustawy o mniejszościach narodowych i etnicznych oraz o języku regionalnym (6 I 2005. Dz.U. 2005 Nr 17 poz. 141), [w:] „Biuletyn Rady Języka Kaszubskiego 2007 rok”, Gdańsk 2007, s. 113–122; wersja kaszubskojęzyczna pt.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Prakticzné aspektë 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Ùstawù ò nôrodnëch ë etnicznëch miészëznach a regionalnym jãzëkù (6 I 2005. dz. Ù. 2005 Nr 17 pòz. 141.), „Biuletin Radzëznë Kaszëbsczégò Jãzëka rok 2007”, s. 113–122.</w:t>
      </w:r>
    </w:p>
    <w:p w:rsidR="002E3A44" w:rsidRPr="002E3A44" w:rsidRDefault="002E3A44" w:rsidP="002E3A44">
      <w:pPr>
        <w:numPr>
          <w:ilvl w:val="0"/>
          <w:numId w:val="19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Słownictwo religijne w „Kaszëbsczim słowôrzu normatiwnym” Eugeniusza Gołąbka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– szkoła – religia II. Księga referatów z konferencji w Pelplinie 7 kwietnia 2006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A. Lewińska i M. Chmiel, Pelplin 2007, s. 89–96.</w:t>
      </w:r>
    </w:p>
    <w:p w:rsidR="002E3A44" w:rsidRPr="002E3A44" w:rsidRDefault="002E3A44" w:rsidP="002E3A44">
      <w:pPr>
        <w:numPr>
          <w:ilvl w:val="0"/>
          <w:numId w:val="19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Słownik gwar kaszubskich na tle kultury ludowej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Bernarda Sychty jako źródło informacji o kaszubskich mikrotoponimach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Mazowsza i Podlasia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XI: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terenowe i nazewnictwo miejskie Mazowsza i Podlasia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H. Sędziak, M. Dajnowicz, Łomża 2007, s. 89–112.</w:t>
      </w:r>
    </w:p>
    <w:p w:rsidR="002E3A44" w:rsidRPr="002E3A44" w:rsidRDefault="002E3A44" w:rsidP="002E3A44">
      <w:pPr>
        <w:numPr>
          <w:ilvl w:val="0"/>
          <w:numId w:val="19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E. Rogowską-Cybulską]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mieszkańców Nowogrodu w powieści Hanny Muszyńskiej-Hoffmannowej „Saga rodu Chętników”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regionalna. Polszczyzna miast i miasteczek Mazowsza i Podlasia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cz. IV, pod red. H. Sędziak i D. Czyż, Ostrołęka 2006, s. 86–111.</w:t>
      </w:r>
    </w:p>
    <w:p w:rsidR="002E3A44" w:rsidRPr="002E3A44" w:rsidRDefault="002E3A44" w:rsidP="002E3A44">
      <w:pPr>
        <w:numPr>
          <w:ilvl w:val="0"/>
          <w:numId w:val="19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E. Rogowską-Cybulską]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Rola przysłów w kaszubskim elementarzu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 kręgu dialektów i folkloru. Prace ofiarowane Doktor Teresie Gołębiowskiej, Docent Wandzie Pomianowskiej i Doktor Zofii Stamirowskiej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S. Cygana, Kielce 2007, s. 199–213.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2008</w:t>
      </w:r>
    </w:p>
    <w:p w:rsidR="002E3A44" w:rsidRPr="002E3A44" w:rsidRDefault="002E3A44" w:rsidP="002E3A44">
      <w:pPr>
        <w:numPr>
          <w:ilvl w:val="0"/>
          <w:numId w:val="20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Obraz człowieka religijnego w „Kaszëbsczim słowôrzu normatiwnym” Eugeniusza Gołąbka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– Szkoła – Religia. III. Księga referatów z konferencji w Pelplinie 30–31 marca 2007, Pelplin 2008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A. Lewińska i M. Chmiel, s. 63–72.</w:t>
      </w:r>
    </w:p>
    <w:p w:rsidR="002E3A44" w:rsidRPr="002E3A44" w:rsidRDefault="002E3A44" w:rsidP="002E3A44">
      <w:pPr>
        <w:numPr>
          <w:ilvl w:val="0"/>
          <w:numId w:val="20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Obraz Gdańska w słownikach kaszubszczyzny literackiej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Przestrzeń zróżnicowana językowo, kulturowo i społecznie. Miasto 2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M. Święcickiej, Bydgoszcz 2008, s. 179–192.</w:t>
      </w:r>
    </w:p>
    <w:p w:rsidR="002E3A44" w:rsidRPr="002E3A44" w:rsidRDefault="002E3A44" w:rsidP="002E3A44">
      <w:pPr>
        <w:numPr>
          <w:ilvl w:val="0"/>
          <w:numId w:val="20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E. Rogowską-Cybulską]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Przymiotnik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kurpiowski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 nazwach firm i instytucji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regionalna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cz. V: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północno-wschodniego Mazowsza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H. Sędziak i D. Czyż, Ostrołęka 2008, s. 48–56.</w:t>
      </w:r>
    </w:p>
    <w:p w:rsidR="002E3A44" w:rsidRPr="002E3A44" w:rsidRDefault="002E3A44" w:rsidP="002E3A44">
      <w:pPr>
        <w:numPr>
          <w:ilvl w:val="0"/>
          <w:numId w:val="20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E. Rogowską-Cybulską]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Przymiotnik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podlaski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 w nazwach firm i instytucji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Mazowsza i Podlasia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XII: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Językowa przeszłość i współczesność Mazowsza i Podlasia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H. Sędziak i M. Frąckiewicz, Łomża 2008, s. 87–102.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2009</w:t>
      </w:r>
    </w:p>
    <w:p w:rsidR="002E3A44" w:rsidRPr="002E3A44" w:rsidRDefault="002E3A44" w:rsidP="002E3A44">
      <w:pPr>
        <w:numPr>
          <w:ilvl w:val="0"/>
          <w:numId w:val="2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Kaszëbizna w Trójmiescym – socjolingwistnô charakteristika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„Acta Cassubiana” 2009, s. 7–18.</w:t>
      </w:r>
    </w:p>
    <w:p w:rsidR="002E3A44" w:rsidRPr="002E3A44" w:rsidRDefault="002E3A44" w:rsidP="002E3A44">
      <w:pPr>
        <w:numPr>
          <w:ilvl w:val="0"/>
          <w:numId w:val="2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Oboczne formy fleksyjne niektórych kaszubskich rzeczowników należących do słownictwa kulinarnego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„Biuletyn Rady Języka Kaszubskiego”, Gdańsk 2009, s. 204, 206, 208, 210, 212, 214;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Òbòczné fleksyjné fòrmë niechtërnëch kaszëbsczich jistnikó słëchającëch do kùchniowi słowiznë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„Biuletin Radzëznë Kaszebsczégò Jãzëka”, Gduńsk 2009, s. 205, 207, 209, 211, 213, 215.</w:t>
      </w:r>
    </w:p>
    <w:p w:rsidR="002E3A44" w:rsidRPr="002E3A44" w:rsidRDefault="002E3A44" w:rsidP="002E3A44">
      <w:pPr>
        <w:numPr>
          <w:ilvl w:val="0"/>
          <w:numId w:val="2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lastRenderedPageBreak/>
        <w:t>Obraz duchownego w 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Słowniku gwar kaszubskich na tle kultury ludowej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Bernarda Sychty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– szkoła – religia IV. Księga referatów z konferencji w Pelplinie 3–4 kwietnia 2008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A. Lewińska i M. Chmiel, Pelplin 2009, s. 46–54.</w:t>
      </w:r>
    </w:p>
    <w:p w:rsidR="002E3A44" w:rsidRPr="002E3A44" w:rsidRDefault="002E3A44" w:rsidP="002E3A44">
      <w:pPr>
        <w:numPr>
          <w:ilvl w:val="0"/>
          <w:numId w:val="2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Przymiotnik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kaszubski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 w nazwach firm i instytucji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Polonistyczne drobiazgi językoznawcze I. Materiały sesji jubileuszowej Oddziału Gdańskiego Towarzystwa Miłośników Języka Polskiego z 23 października 2006 roku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Maćkiewicz i E. Rogowskiej-Cybulskiej, Gdańsk 2009, s. 142–147.</w:t>
      </w:r>
    </w:p>
    <w:p w:rsidR="002E3A44" w:rsidRPr="002E3A44" w:rsidRDefault="002E3A44" w:rsidP="002E3A44">
      <w:pPr>
        <w:numPr>
          <w:ilvl w:val="0"/>
          <w:numId w:val="2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E. Rogowską-Cybulską],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Obraz Europy i Europejczyków w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Kaszëbsczim słowôrzu normatiwnym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Eugeniusza Gołąbka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Mazowsza i Podlasia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XIII: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Językowa przeszłość i współczesność Mazowsza i Podlasia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H. Sędziak, Łomża 2009, s. 203–219.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2010</w:t>
      </w:r>
    </w:p>
    <w:p w:rsidR="002E3A44" w:rsidRPr="002E3A44" w:rsidRDefault="002E3A44" w:rsidP="002E3A44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Kaszubskie rzeczowniki związane z rokiem obrzędowym – problemy poprawnościowe // Kaszëbsczé jistniczi zrzeszoné z òbrzãdowim rokã – pòprawnoscowé problemë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„Biuletyn Rady Języka Kaszubskiego” // „Biuletin Radzëznë Kaszebsczégò Jãzëka” 2010, s. 134–147.</w:t>
      </w:r>
    </w:p>
    <w:p w:rsidR="002E3A44" w:rsidRPr="002E3A44" w:rsidRDefault="002E3A44" w:rsidP="002E3A44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kaszubskiej wersji Pawłowego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Hymnu o miłości,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– szkoła – religia V. Księga referatów z konferencji w Pelplinie 17–18 kwietnia 2009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A. Lewińska i M. Chmiel, Pelplin 2010, s. 79–88.</w:t>
      </w:r>
    </w:p>
    <w:p w:rsidR="002E3A44" w:rsidRPr="002E3A44" w:rsidRDefault="002E3A44" w:rsidP="002E3A44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Rzeczywistość PRL-u w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Słowniku gwar kaszubskich na tle kultury ludowej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księdza Bernarda Sychty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Lingua Terra Cognita I. Księga Pamiątkowa ofiarowana Profesorowi Romanowi Kaliszowi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D. Stanulewicz, Gdańsk, Wydawnictwo Uniwersytetu Gdańskiego, 2010, s. 241–249. (ISBN 978-83-7326-744-2).</w:t>
      </w:r>
    </w:p>
    <w:p w:rsidR="002E3A44" w:rsidRPr="002E3A44" w:rsidRDefault="002E3A44" w:rsidP="002E3A44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E. Rogowską-Cybulską],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Obraz książki w dwu słownikach kaszubszczyzny literackiej (Ramułta i Gołąbka)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„Acta Cassubiana”, Gdańsk 2009, s. 116–127.</w:t>
      </w:r>
    </w:p>
    <w:p w:rsidR="002E3A44" w:rsidRPr="002E3A44" w:rsidRDefault="002E3A44" w:rsidP="002E3A44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E. Rogowską-Cybulską],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Perswazyjne walory derywatów słowotwórczych w tekstach felietonów Rómka Drzeżdżónka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Mazowsza i Podlasia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XIV: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Prace poświęcone Pani Profesor Henryce Sędziak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D. Czyż i M. Frąckiewicz, Łomża 2010, s. 215–224.</w:t>
      </w:r>
    </w:p>
    <w:p w:rsidR="002E3A44" w:rsidRPr="002E3A44" w:rsidRDefault="002E3A44" w:rsidP="002E3A44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E. Rogowską-Cybulską i A. Lewińską],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Obraz przeszłości w dwu elementarzach mowy małych ojczyzn: kociewskim i kaszubskim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regionalna. Polszczyzna północno-wschodniego Mazowsza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cz. VI, pod red. H. Sędziak i D. Czyż, Ostrołęka 2010, s. 51–73.</w:t>
      </w:r>
    </w:p>
    <w:p w:rsidR="002E3A44" w:rsidRPr="002E3A44" w:rsidRDefault="002E3A44" w:rsidP="002E3A4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2011</w:t>
      </w:r>
    </w:p>
    <w:p w:rsidR="002E3A44" w:rsidRPr="002E3A44" w:rsidRDefault="002E3A44" w:rsidP="002E3A44">
      <w:pPr>
        <w:numPr>
          <w:ilvl w:val="0"/>
          <w:numId w:val="2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[we współautorstwie z E. Rogowską-Cybulską],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Słowotwórcze gry tytułu z tekstem w felietonach Rómka Drzeżdżónka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 </w:t>
      </w:r>
      <w:r w:rsidRPr="002E3A44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Wokół słów i znaczeń IV. Słowotwórstwo a media. Materiały czwartej konferencji językoznawczej poświęconej pamięci Profesora Bogusława Krei</w:t>
      </w:r>
      <w:r w:rsidRPr="002E3A44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E. Badydy, J. Maćkiewicz i E. Rogowskiej-Cybulskiej, Gdańsk 2011, s. 41–53.</w:t>
      </w:r>
    </w:p>
    <w:p w:rsidR="004D43C3" w:rsidRDefault="004D43C3"/>
    <w:sectPr w:rsidR="004D43C3" w:rsidSect="004D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903"/>
    <w:multiLevelType w:val="multilevel"/>
    <w:tmpl w:val="7B5A9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8109C"/>
    <w:multiLevelType w:val="multilevel"/>
    <w:tmpl w:val="B516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F55D8"/>
    <w:multiLevelType w:val="multilevel"/>
    <w:tmpl w:val="1402178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E56E4"/>
    <w:multiLevelType w:val="multilevel"/>
    <w:tmpl w:val="5BDC61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26BE5"/>
    <w:multiLevelType w:val="multilevel"/>
    <w:tmpl w:val="0BECD5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711C6"/>
    <w:multiLevelType w:val="multilevel"/>
    <w:tmpl w:val="3632A0E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22B14"/>
    <w:multiLevelType w:val="multilevel"/>
    <w:tmpl w:val="AB50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D2BFB"/>
    <w:multiLevelType w:val="multilevel"/>
    <w:tmpl w:val="CF50D5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300D9"/>
    <w:multiLevelType w:val="multilevel"/>
    <w:tmpl w:val="8BB04F8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86B9A"/>
    <w:multiLevelType w:val="multilevel"/>
    <w:tmpl w:val="8D081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7304C"/>
    <w:multiLevelType w:val="multilevel"/>
    <w:tmpl w:val="2880FC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778D0"/>
    <w:multiLevelType w:val="multilevel"/>
    <w:tmpl w:val="267837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32F4E"/>
    <w:multiLevelType w:val="multilevel"/>
    <w:tmpl w:val="ED8E1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A4399"/>
    <w:multiLevelType w:val="multilevel"/>
    <w:tmpl w:val="F0AA330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15742"/>
    <w:multiLevelType w:val="multilevel"/>
    <w:tmpl w:val="6B98474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A7CAE"/>
    <w:multiLevelType w:val="multilevel"/>
    <w:tmpl w:val="CA1E98E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25062"/>
    <w:multiLevelType w:val="multilevel"/>
    <w:tmpl w:val="126074C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D4757"/>
    <w:multiLevelType w:val="multilevel"/>
    <w:tmpl w:val="3772615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0E1B07"/>
    <w:multiLevelType w:val="multilevel"/>
    <w:tmpl w:val="4782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33C21"/>
    <w:multiLevelType w:val="multilevel"/>
    <w:tmpl w:val="DF0A45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607CC"/>
    <w:multiLevelType w:val="multilevel"/>
    <w:tmpl w:val="9078B5C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266D5"/>
    <w:multiLevelType w:val="multilevel"/>
    <w:tmpl w:val="6E1E0A3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A30129"/>
    <w:multiLevelType w:val="multilevel"/>
    <w:tmpl w:val="3E883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22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9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  <w:num w:numId="17">
    <w:abstractNumId w:val="21"/>
  </w:num>
  <w:num w:numId="18">
    <w:abstractNumId w:val="17"/>
  </w:num>
  <w:num w:numId="19">
    <w:abstractNumId w:val="5"/>
  </w:num>
  <w:num w:numId="20">
    <w:abstractNumId w:val="20"/>
  </w:num>
  <w:num w:numId="21">
    <w:abstractNumId w:val="16"/>
  </w:num>
  <w:num w:numId="22">
    <w:abstractNumId w:val="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A44"/>
    <w:rsid w:val="002E3A44"/>
    <w:rsid w:val="004D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2E3A44"/>
    <w:rPr>
      <w:b/>
      <w:bCs/>
    </w:rPr>
  </w:style>
  <w:style w:type="character" w:styleId="Emphasis">
    <w:name w:val="Emphasis"/>
    <w:basedOn w:val="DefaultParagraphFont"/>
    <w:uiPriority w:val="20"/>
    <w:qFormat/>
    <w:rsid w:val="002E3A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12462</Characters>
  <Application>Microsoft Office Word</Application>
  <DocSecurity>0</DocSecurity>
  <Lines>103</Lines>
  <Paragraphs>29</Paragraphs>
  <ScaleCrop>false</ScaleCrop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2015-02-12T18:32:00Z</dcterms:created>
  <dcterms:modified xsi:type="dcterms:W3CDTF">2015-02-12T18:33:00Z</dcterms:modified>
</cp:coreProperties>
</file>